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both"/>
        <w:rPr>
          <w:rFonts w:hint="default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附件2：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亲属或特定关系人在赣州城投集团及下属子公司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任职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本人填报的上述信息完全属实，如有漏报、隐瞒，愿意自动取消录用资格。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注：该表所称亲属是指集团及下属子公司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员工的配偶，父母，配偶的父母，子女及其配偶，兄弟姐妹及其配偶、子女，配偶的兄弟姐妹。所称特定关系人是指与集团及下属子公司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bookmarkStart w:id="0" w:name="_GoBack"/>
      <w:bookmarkEnd w:id="0"/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C0016"/>
    <w:rsid w:val="10CC0016"/>
    <w:rsid w:val="1E055C11"/>
    <w:rsid w:val="3E5811F2"/>
    <w:rsid w:val="4CF16BC1"/>
    <w:rsid w:val="51FE7972"/>
    <w:rsid w:val="54CD3339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2021-04-13T02:05:00Z</dcterms:created>
  <dc:creator>宋</dc:creator>
  <cp:lastModifiedBy>心若水</cp:lastModifiedBy>
  <dcterms:modified xsi:type="dcterms:W3CDTF">2021-06-24T09:08:09Z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6939BC2B64B64202B057D83FC3EFCB17</vt:lpwstr>
  </property>
</Properties>
</file>